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096C0">
      <w:pPr>
        <w:spacing w:after="0"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52CBE65A">
      <w:pPr>
        <w:spacing w:after="0" w:line="560" w:lineRule="exact"/>
        <w:jc w:val="both"/>
        <w:rPr>
          <w:rFonts w:hint="eastAsia" w:ascii="黑体" w:hAnsi="黑体" w:eastAsia="黑体" w:cs="黑体"/>
          <w:sz w:val="32"/>
          <w:szCs w:val="32"/>
        </w:rPr>
      </w:pPr>
    </w:p>
    <w:p w14:paraId="55506963">
      <w:pPr>
        <w:spacing w:after="0" w:line="560" w:lineRule="exact"/>
        <w:jc w:val="center"/>
      </w:pPr>
      <w:r>
        <w:rPr>
          <w:rFonts w:ascii="Times New Roman" w:hAnsi="Times New Roman" w:eastAsia="方正小标宋简体"/>
          <w:sz w:val="44"/>
          <w:szCs w:val="44"/>
        </w:rPr>
        <w:t>石家庄市创新应用场景征集明白纸</w:t>
      </w:r>
    </w:p>
    <w:p w14:paraId="2D7E35A8">
      <w:pPr>
        <w:spacing w:after="0" w:line="560" w:lineRule="exact"/>
        <w:ind w:firstLine="640"/>
        <w:jc w:val="both"/>
      </w:pPr>
    </w:p>
    <w:p w14:paraId="06A8FB36">
      <w:pPr>
        <w:spacing w:after="0" w:line="560" w:lineRule="exact"/>
        <w:ind w:firstLine="640"/>
        <w:jc w:val="both"/>
        <w:rPr>
          <w:rFonts w:hint="eastAsia" w:eastAsia="仿宋_GB2312"/>
          <w:lang w:eastAsia="zh-CN"/>
        </w:rPr>
      </w:pPr>
      <w:r>
        <w:rPr>
          <w:rFonts w:ascii="Times New Roman" w:hAnsi="Times New Roman" w:eastAsia="仿宋_GB2312"/>
          <w:sz w:val="32"/>
          <w:szCs w:val="32"/>
        </w:rPr>
        <w:t>本明白纸用于指导填报《石家庄市创新应用场景汇总表》。征集范围、入库条件、支持措施等具体要求，详见《关于常态化征集创新应用场景的通知》正文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。</w:t>
      </w:r>
      <w:bookmarkStart w:id="0" w:name="_GoBack"/>
      <w:bookmarkEnd w:id="0"/>
    </w:p>
    <w:p w14:paraId="15CC9E39">
      <w:pPr>
        <w:spacing w:after="0" w:line="560" w:lineRule="exact"/>
        <w:ind w:firstLine="640"/>
        <w:jc w:val="both"/>
      </w:pPr>
      <w:r>
        <w:rPr>
          <w:rFonts w:ascii="Times New Roman" w:hAnsi="Times New Roman" w:eastAsia="黑体"/>
          <w:sz w:val="32"/>
          <w:szCs w:val="32"/>
        </w:rPr>
        <w:t>一、表格填写说明</w:t>
      </w:r>
    </w:p>
    <w:p w14:paraId="506A26C5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《石家庄市创新应用场景汇总表》各项信息须真实、准确、完整，一个场景一行填报，逐列填写：</w:t>
      </w:r>
    </w:p>
    <w:p w14:paraId="064BB7F9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1.产业领域：填写场景所属产业领域，如生物医药、新一代电子信息、高端装备制造、低空经济等。</w:t>
      </w:r>
    </w:p>
    <w:p w14:paraId="658D647A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2.场景名称：精准概括场景核心内容，不超过30字，突出场景能干什么、在哪儿干，如“地下空间北斗高精度定位导航应用场景”。</w:t>
      </w:r>
    </w:p>
    <w:p w14:paraId="419818C6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3.建设/依托单位：填写场景实施单位全称。</w:t>
      </w:r>
    </w:p>
    <w:p w14:paraId="68F22E78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4.基本条件：填写场景建设背景、核心内容、当前进展、行业价值，300字以内，重点说明场景真实环境、设施条件、投资规模和开放能力。</w:t>
      </w:r>
    </w:p>
    <w:p w14:paraId="49FC488A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5.可提供的服务项目：填写可为新技术、新产品、新模式验证应用提供的具体服务，如“开放实测场地、提供测试数据、支持算法验证”等。</w:t>
      </w:r>
    </w:p>
    <w:p w14:paraId="50E4E9EC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6.联系方式：填写场景对接联系人及电话。</w:t>
      </w:r>
    </w:p>
    <w:p w14:paraId="61F34094">
      <w:pPr>
        <w:spacing w:after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7.县/市/区：填写场景所在地。</w:t>
      </w:r>
    </w:p>
    <w:p w14:paraId="657D889F">
      <w:pPr>
        <w:spacing w:after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8.</w:t>
      </w:r>
      <w:r>
        <w:rPr>
          <w:rFonts w:hint="eastAsia" w:ascii="Times New Roman" w:hAnsi="Times New Roman" w:eastAsia="仿宋_GB2312"/>
          <w:sz w:val="32"/>
          <w:szCs w:val="32"/>
        </w:rPr>
        <w:t>报送提醒：请提供场景实景照片3—5张（每张不小于2M），连同《石家庄市创新应用场景汇总表》一并压缩打包，命名为“填报单位—填报日期—创新应用场景”，发送至邮箱：sjz85069336@126.com。</w:t>
      </w:r>
    </w:p>
    <w:p w14:paraId="17CEBF6E">
      <w:pPr>
        <w:spacing w:after="0" w:line="560" w:lineRule="exact"/>
        <w:ind w:firstLine="640"/>
        <w:jc w:val="both"/>
        <w:rPr>
          <w:rFonts w:ascii="Times New Roman" w:hAnsi="Times New Roman" w:eastAsia="仿宋_GB2312"/>
          <w:sz w:val="32"/>
          <w:szCs w:val="32"/>
        </w:rPr>
      </w:pPr>
    </w:p>
    <w:p w14:paraId="1DCFEA9B">
      <w:pPr>
        <w:spacing w:after="0" w:line="560" w:lineRule="exact"/>
        <w:ind w:firstLine="640"/>
        <w:jc w:val="both"/>
      </w:pPr>
      <w:r>
        <w:rPr>
          <w:rFonts w:ascii="Times New Roman" w:hAnsi="Times New Roman" w:eastAsia="黑体"/>
          <w:sz w:val="32"/>
          <w:szCs w:val="32"/>
        </w:rPr>
        <w:t>二、参考示例</w:t>
      </w:r>
    </w:p>
    <w:p w14:paraId="67BE23DA">
      <w:pPr>
        <w:spacing w:after="0" w:line="560" w:lineRule="exact"/>
        <w:ind w:firstLine="640"/>
        <w:jc w:val="both"/>
      </w:pPr>
      <w:r>
        <w:rPr>
          <w:rFonts w:ascii="楷体_GB2312" w:hAnsi="楷体_GB2312" w:eastAsia="楷体_GB2312"/>
          <w:sz w:val="32"/>
          <w:szCs w:val="32"/>
        </w:rPr>
        <w:t>（一）实景化综合试验场示例：北斗地上地下一体化定位导航应用场景</w:t>
      </w:r>
    </w:p>
    <w:p w14:paraId="5C2B3C34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1.开放场景资源。依托雄安新区启动区2000万平方米地上地下空间为实测载体，开放地下停车场、商业综合体、交通枢纽、校园医院、管廊隧道等多元化应用场景，可同时支撑多项“5G+北斗”技术验证，属于实景化综合试验场。</w:t>
      </w:r>
    </w:p>
    <w:p w14:paraId="2515D5A0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2.场景验证服务。面向各类创新主体开放专业化场景验证环境。一是提供地下遮蔽空间实测服务，在管廊、复杂建筑等真实环境开展高精度定位算法实测与盲区覆盖验证。二是提供时空与地图数据共享服务，开放脱敏后的地下空间信号数据、定位误差数据、高精度室内外一体化地图等，支撑科研院所和企业开展算法优化、模型训练研发工作。</w:t>
      </w:r>
    </w:p>
    <w:p w14:paraId="544DF479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3.场景投资情况。场景总投资2.06亿元，用于室内通信、北斗定位基础设施、信息化系统、场景服务等。</w:t>
      </w:r>
    </w:p>
    <w:p w14:paraId="5D18E420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4.场景运营模式。采用“共投、共建、共营、共享”的运作模式，由九州时空（雄安）科技有限公司负责统筹运营与场景转化，中国铁塔、中国移动等联合研发。</w:t>
      </w:r>
    </w:p>
    <w:p w14:paraId="5251FB84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5.场景验证成效。场景聚焦解决城市地下空间高精度导航真实需求问题，与北京邮电大学合作完成上千次测试与迭代，将北斗信号定位精度从室外10米提升至地下2米，实现地上地下一体化“车位级”导航，方案推广至河南、山东、重庆等地区，并延伸至隧道矿井场景。同时，研发北斗室内外连续定位模组“邮芯1号”，年产能可达30万套。</w:t>
      </w:r>
    </w:p>
    <w:p w14:paraId="5447A6D2">
      <w:pPr>
        <w:spacing w:after="0" w:line="560" w:lineRule="exact"/>
        <w:ind w:firstLine="640"/>
        <w:jc w:val="both"/>
      </w:pPr>
      <w:r>
        <w:rPr>
          <w:rFonts w:ascii="楷体_GB2312" w:hAnsi="楷体_GB2312" w:eastAsia="楷体_GB2312"/>
          <w:sz w:val="32"/>
          <w:szCs w:val="32"/>
        </w:rPr>
        <w:t>（二）实训化专业试验场示例：北京亦庄高级别自动驾驶试验区</w:t>
      </w:r>
    </w:p>
    <w:p w14:paraId="25434CC5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1.开放场景资源。依托全国首个车路云一体化自动驾驶示范区，建成750公里智能道路、329个智能网联标准路口，全面开放城市道路、高速干线、交通枢纽场站、封闭测试场等多层次场景，可模拟2000余类复杂路况及雨雾、强光等极端工况，支撑高阶自动驾驶多场景技术验证，属于实训化专业试验场。</w:t>
      </w:r>
    </w:p>
    <w:p w14:paraId="3E04BC1A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2.场景验证服务。一是开放650亩高标准封闭测试基地，支持车辆性能与极限工况测试。二是开放车路云一体化路侧设施，支持企业开展车路协同、云端控管、信号联动等网联技术实测迭代。三是脱敏开放真实交通流数据、路况冲突事件数据、场景仿真库，支撑算法优化与实车验证。</w:t>
      </w:r>
    </w:p>
    <w:p w14:paraId="39DE8AAE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3.场景投资情况。总投资99.39亿元，投向智能道路改造、网联设施、云控平台、测试基地和场景运营。</w:t>
      </w:r>
    </w:p>
    <w:p w14:paraId="0A953F60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4.场景运营模式。由经开区管委会统筹监管，市场化平台公司负责设施运维、场景开放与数据管理，联动企业科研单位落地。</w:t>
      </w:r>
    </w:p>
    <w:p w14:paraId="6A7FA481">
      <w:pPr>
        <w:spacing w:after="0" w:line="560" w:lineRule="exact"/>
        <w:ind w:firstLine="640"/>
        <w:jc w:val="both"/>
      </w:pPr>
      <w:r>
        <w:rPr>
          <w:rFonts w:ascii="Times New Roman" w:hAnsi="Times New Roman" w:eastAsia="仿宋_GB2312"/>
          <w:sz w:val="32"/>
          <w:szCs w:val="32"/>
        </w:rPr>
        <w:t>5.场景验证成效。累计服务40余家自动驾驶企业、1500余台测试车辆，总测试里程超6500万公里，成功支撑L3、L4级自动驾驶技术迭代落地，集聚120余家智能网联全链条企业，实现多类自动驾驶场景规模化示范应用，形成成熟可复制的车路云一体化“亦庄方案”。</w:t>
      </w:r>
    </w:p>
    <w:p w14:paraId="1A2275E5">
      <w:pPr>
        <w:spacing w:after="0" w:line="560" w:lineRule="exact"/>
        <w:ind w:firstLine="640"/>
        <w:jc w:val="both"/>
      </w:pPr>
    </w:p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DBC1F35"/>
    <w:rsid w:val="7349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1545</Words>
  <Characters>1621</Characters>
  <Lines>0</Lines>
  <Paragraphs>0</Paragraphs>
  <TotalTime>2</TotalTime>
  <ScaleCrop>false</ScaleCrop>
  <LinksUpToDate>false</LinksUpToDate>
  <CharactersWithSpaces>1621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市科技局</cp:lastModifiedBy>
  <dcterms:modified xsi:type="dcterms:W3CDTF">2026-08-25T08:08:19Z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eyJoZGlkIjoiYTVjYzYzMWVmMDFhMGVhNmQ3Mjc1NWE4NTIzNzIyMTQiLCJ1c2VySWQiOiIxOTMzODg1MTIifQ==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CFECF42E9B734A888F738B54DF100AD4_12</vt:lpwstr>
  </property>
</Properties>
</file>