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E3E351">
      <w:pPr>
        <w:jc w:val="center"/>
        <w:rPr>
          <w:rFonts w:ascii="Times New Roman" w:hAnsi="Times New Roman"/>
          <w:sz w:val="44"/>
          <w:szCs w:val="44"/>
        </w:rPr>
      </w:pPr>
      <w:r>
        <w:rPr>
          <w:rFonts w:hint="eastAsia" w:ascii="Times New Roman" w:hAnsi="Times New Roman"/>
          <w:sz w:val="44"/>
          <w:szCs w:val="44"/>
        </w:rPr>
        <w:t>清华大学电机工程与应用电子技术系</w:t>
      </w:r>
    </w:p>
    <w:p w14:paraId="7EDA29AE">
      <w:pPr>
        <w:jc w:val="center"/>
        <w:rPr>
          <w:rFonts w:ascii="Times New Roman" w:hAnsi="Times New Roman"/>
          <w:sz w:val="44"/>
          <w:szCs w:val="44"/>
        </w:rPr>
      </w:pPr>
      <w:r>
        <w:rPr>
          <w:rFonts w:hint="eastAsia" w:ascii="Times New Roman" w:hAnsi="Times New Roman"/>
          <w:sz w:val="44"/>
          <w:szCs w:val="44"/>
        </w:rPr>
        <w:t>相关材料</w:t>
      </w:r>
    </w:p>
    <w:p w14:paraId="32BDA28E">
      <w:pPr>
        <w:rPr>
          <w:rFonts w:ascii="Times New Roman" w:hAnsi="Times New Roman" w:eastAsia="黑体" w:cs="黑体"/>
          <w:sz w:val="32"/>
          <w:szCs w:val="32"/>
        </w:rPr>
      </w:pPr>
    </w:p>
    <w:p w14:paraId="1140AED7">
      <w:pPr>
        <w:ind w:firstLine="640" w:firstLineChars="200"/>
        <w:rPr>
          <w:rFonts w:ascii="Times New Roman" w:hAnsi="Times New Roman"/>
        </w:rPr>
      </w:pPr>
      <w:r>
        <w:rPr>
          <w:rFonts w:hint="eastAsia" w:ascii="Times New Roman" w:hAnsi="Times New Roman" w:eastAsia="黑体" w:cs="黑体"/>
          <w:sz w:val="32"/>
          <w:szCs w:val="32"/>
        </w:rPr>
        <w:t>一、电机系简介</w:t>
      </w:r>
    </w:p>
    <w:p w14:paraId="4B6C9E83">
      <w:pPr>
        <w:ind w:firstLine="640" w:firstLineChars="200"/>
        <w:rPr>
          <w:rFonts w:ascii="Times New Roman" w:hAnsi="Times New Roman" w:eastAsia="仿宋" w:cs="仿宋"/>
          <w:sz w:val="32"/>
          <w:szCs w:val="32"/>
        </w:rPr>
      </w:pPr>
      <w:r>
        <w:rPr>
          <w:rFonts w:ascii="Times New Roman" w:hAnsi="Times New Roman" w:eastAsia="仿宋" w:cs="仿宋"/>
          <w:sz w:val="32"/>
          <w:szCs w:val="32"/>
        </w:rPr>
        <w:t>清华大学电机工程与应用电子技术系(简称电机系)创立于1932年，是清华大学最早成立的3个工科系之一。1989年率先将原电力系统自动化、高电压技术、电机三个专业合并为一个宽口径的“电气工程及其自动化”专业，列入全国专业推荐目录。本学科是首批国家一级重点学科和一级学科博士点，在历次学科评估中保持全国第一或A+</w:t>
      </w:r>
      <w:r>
        <w:rPr>
          <w:rFonts w:hint="eastAsia" w:ascii="Times New Roman" w:hAnsi="Times New Roman" w:eastAsia="仿宋" w:cs="仿宋"/>
          <w:sz w:val="32"/>
          <w:szCs w:val="32"/>
        </w:rPr>
        <w:t>。</w:t>
      </w:r>
    </w:p>
    <w:p w14:paraId="70A02714">
      <w:pPr>
        <w:ind w:firstLine="640" w:firstLineChars="200"/>
        <w:rPr>
          <w:rFonts w:ascii="Times New Roman" w:hAnsi="Times New Roman" w:eastAsia="仿宋" w:cs="仿宋"/>
          <w:sz w:val="32"/>
          <w:szCs w:val="32"/>
        </w:rPr>
      </w:pPr>
      <w:r>
        <w:rPr>
          <w:rFonts w:ascii="Times New Roman" w:hAnsi="Times New Roman" w:eastAsia="仿宋" w:cs="仿宋"/>
          <w:sz w:val="32"/>
          <w:szCs w:val="32"/>
        </w:rPr>
        <w:t>在学科建设与科学研究方面，对传统电气工程领域持续深化内涵，坚持瞄准国际学科前沿、服务国家重大需求；同时不断拓展学科外延，大力推动学科交叉融合，促进科技成果转化与多行业应用；深化新能源、新型输电、电工新材料等领域的科学研究，近年来取得了以1项国家科技</w:t>
      </w:r>
      <w:r>
        <w:rPr>
          <w:rFonts w:hint="eastAsia" w:ascii="Times New Roman" w:hAnsi="Times New Roman" w:eastAsia="仿宋" w:cs="仿宋"/>
          <w:sz w:val="32"/>
          <w:szCs w:val="32"/>
        </w:rPr>
        <w:t>一</w:t>
      </w:r>
      <w:r>
        <w:rPr>
          <w:rFonts w:ascii="Times New Roman" w:hAnsi="Times New Roman" w:eastAsia="仿宋" w:cs="仿宋"/>
          <w:sz w:val="32"/>
          <w:szCs w:val="32"/>
        </w:rPr>
        <w:t>等奖、5项国家科技二等奖为代表的一系列重大科研成果。在教学与人才培养方面，牵头成立“能源与电气大类”，实现大类招生与培养；创建“能源互联网国际班”，致力于培养能源领域国际化、复合型的高端创新领军人才；在全国率先开设电路原理MOOC，应用雨课堂等现代教学工具开展教学改革</w:t>
      </w:r>
      <w:r>
        <w:rPr>
          <w:rFonts w:hint="eastAsia" w:ascii="Times New Roman" w:hAnsi="Times New Roman" w:eastAsia="仿宋" w:cs="仿宋"/>
          <w:sz w:val="32"/>
          <w:szCs w:val="32"/>
        </w:rPr>
        <w:t>。</w:t>
      </w:r>
    </w:p>
    <w:p w14:paraId="1E8CDDB6">
      <w:pPr>
        <w:ind w:firstLine="640" w:firstLineChars="200"/>
        <w:rPr>
          <w:rFonts w:ascii="Times New Roman" w:hAnsi="Times New Roman" w:eastAsia="仿宋" w:cs="仿宋"/>
          <w:sz w:val="32"/>
          <w:szCs w:val="32"/>
        </w:rPr>
      </w:pPr>
      <w:r>
        <w:rPr>
          <w:rFonts w:ascii="Times New Roman" w:hAnsi="Times New Roman" w:eastAsia="仿宋" w:cs="仿宋"/>
          <w:sz w:val="32"/>
          <w:szCs w:val="32"/>
        </w:rPr>
        <w:t>电机系秉承“为学在严、为人要正”的系训，共培养毕业生19000余人，涌现出以国家最高科技奖获得者金怡濂院士、“八一勋章”获得者马伟明院士、国家电网公司首任总经理赵希正、国务院原总理朱镕基为杰出代表的一大批学术大师、兴业英才和治国栋梁。面向未来，电机系将持续发扬“爱国奉献、追求卓越”的优良传统，积极推动学科内涵式发展，提升人才培养质量，在服务国家能源革命战略进程中作出更大贡献。</w:t>
      </w:r>
    </w:p>
    <w:p w14:paraId="5CC548D2">
      <w:pPr>
        <w:ind w:firstLine="640" w:firstLineChars="200"/>
        <w:rPr>
          <w:rFonts w:ascii="Times New Roman" w:hAnsi="Times New Roman" w:eastAsia="仿宋" w:cs="仿宋"/>
          <w:sz w:val="32"/>
          <w:szCs w:val="32"/>
        </w:rPr>
      </w:pPr>
      <w:r>
        <w:rPr>
          <w:rFonts w:hint="eastAsia" w:ascii="Times New Roman" w:hAnsi="Times New Roman" w:eastAsia="黑体" w:cs="黑体"/>
          <w:sz w:val="32"/>
          <w:szCs w:val="32"/>
        </w:rPr>
        <w:t>二、清华大学新型电力系统运行与控制全国重点实验室</w:t>
      </w:r>
    </w:p>
    <w:p w14:paraId="060128E8">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新型电力系统运行与控制”全国重点实验室是科技部批准建设的首批20个全国重点实验室之一，2022年5月批准建设，依托清华大学，基于原“电力系统及大型发电设备安全控制和仿真”国家重点实验室优化调整组建。原“电力系统及大型发电设备安全控制和仿真”国家重点实验室于1989年经国家计划委员会批准立项，1995年10月17日通过国家验收，正式对外开放运行。实验室由清华大学老校长高景德先生亲手创立，是我国电气工程领域的首批国家重点实验室。在卢强、韩英铎和倪维斗院士的带领下，历经30年的发展与创新，在科技部组织的国家重点实验室评估中，一次荣获小组第一，两次获评优秀。实验室依托的学科为清华大学的电气工程以及动力工程的一部分，在多次学科评估中获第一或A+。</w:t>
      </w:r>
    </w:p>
    <w:p w14:paraId="418C8618">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实验室将围绕国家能源革命战略，突破新型电力系统安全运行基础理论，解决电力能源基础材料与功率器件、电力传输与电源重大装备等“卡脖子”关键技术，聚焦新型电力系统安全控制与经济运行、电能转换与传输重大装备、电力能源基础材料与功率器件三大科技问题攻关，实现电力能源系统控制软件、重大装备和核心器件全国产化自主可控。形成世界一流的电力能源科学家团队，引领电力能源基础研究，带动行业发展，为实现国家碳中和目标提供基础理论与核心技术支撑。</w:t>
      </w:r>
    </w:p>
    <w:p w14:paraId="5841A4B5">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实验室通过与科技领军企业共建联合研究机构等方式与产业界深度融合。目前已成立了“清华大学－国家电网新一代电力系统联合研究院”，“清华大学－中国三峡集团有限公司能源电力新技术联合研究院”以及“清华大学-中国南方电网有限责任公司数字电网联合研究院”等。实验室将与行业内重点企业合作设立全重分室和产业化基地，针对重大需求和关键技术联合攻关，推进科研成果成果转化与落地。</w:t>
      </w:r>
    </w:p>
    <w:p w14:paraId="1E339A46">
      <w:pPr>
        <w:ind w:firstLine="640" w:firstLineChars="200"/>
        <w:rPr>
          <w:rFonts w:ascii="Times New Roman" w:hAnsi="Times New Roman" w:eastAsia="黑体" w:cs="黑体"/>
          <w:sz w:val="32"/>
          <w:szCs w:val="32"/>
        </w:rPr>
      </w:pPr>
      <w:r>
        <w:rPr>
          <w:rFonts w:hint="eastAsia" w:ascii="Times New Roman" w:hAnsi="Times New Roman" w:eastAsia="仿宋" w:cs="仿宋"/>
          <w:sz w:val="32"/>
          <w:szCs w:val="32"/>
        </w:rPr>
        <w:t>在依托单位清华大学的大力支持下，本实验室将继续坚持服务国家重大需求，瞄准国际科技前沿，着力打造科学研究、人才培养和学术交流三个基地，为构建以新能源为主体的新型电力系统做出扎扎实实的贡献。</w:t>
      </w:r>
    </w:p>
    <w:p w14:paraId="2FFBEC43">
      <w:pPr>
        <w:ind w:firstLine="640" w:firstLineChars="200"/>
        <w:rPr>
          <w:rFonts w:ascii="Times New Roman" w:hAnsi="Times New Roman" w:eastAsia="仿宋" w:cs="仿宋"/>
          <w:sz w:val="32"/>
          <w:szCs w:val="32"/>
        </w:rPr>
      </w:pPr>
      <w:r>
        <w:rPr>
          <w:rFonts w:hint="eastAsia" w:ascii="Times New Roman" w:hAnsi="Times New Roman" w:eastAsia="黑体" w:cs="黑体"/>
          <w:sz w:val="32"/>
          <w:szCs w:val="32"/>
        </w:rPr>
        <w:t>三、电机系研究所设置</w:t>
      </w:r>
    </w:p>
    <w:p w14:paraId="7BF73177">
      <w:pPr>
        <w:ind w:firstLine="640" w:firstLineChars="200"/>
        <w:rPr>
          <w:rFonts w:ascii="Times New Roman" w:hAnsi="Times New Roman" w:eastAsia="仿宋" w:cs="仿宋"/>
          <w:sz w:val="32"/>
          <w:szCs w:val="32"/>
        </w:rPr>
      </w:pPr>
      <w:r>
        <w:rPr>
          <w:rFonts w:hint="eastAsia" w:ascii="Times New Roman" w:hAnsi="Times New Roman" w:eastAsia="楷体" w:cs="楷体"/>
          <w:sz w:val="32"/>
          <w:szCs w:val="32"/>
        </w:rPr>
        <w:t>（一）</w:t>
      </w:r>
      <w:r>
        <w:rPr>
          <w:rFonts w:ascii="Times New Roman" w:hAnsi="Times New Roman" w:eastAsia="楷体" w:cs="楷体"/>
          <w:sz w:val="32"/>
          <w:szCs w:val="32"/>
        </w:rPr>
        <w:t>电力系统研究所</w:t>
      </w:r>
    </w:p>
    <w:p w14:paraId="1639267D">
      <w:pPr>
        <w:ind w:firstLine="640" w:firstLineChars="200"/>
        <w:rPr>
          <w:rFonts w:ascii="Times New Roman" w:hAnsi="Times New Roman" w:eastAsia="仿宋" w:cs="仿宋"/>
          <w:sz w:val="32"/>
          <w:szCs w:val="32"/>
        </w:rPr>
      </w:pPr>
      <w:r>
        <w:rPr>
          <w:rFonts w:ascii="Times New Roman" w:hAnsi="Times New Roman" w:eastAsia="仿宋" w:cs="仿宋"/>
          <w:sz w:val="32"/>
          <w:szCs w:val="32"/>
        </w:rPr>
        <w:t>电力系统研究所的学科方向是电力系统及其自动化，前身为1952年建立的发电厂和输配电教研室。1981年成为我国首批博士、硕士点。1988年评为全国重点学科，1999年成立电力系统研究所。2001年再次以全国第一的排名评为重点学科。本所的工作目标是为我国电力工业及相关部门培养从事研究、设计、管理、教学及新技术开发应用的高级人才。</w:t>
      </w:r>
    </w:p>
    <w:p w14:paraId="5184F3B1">
      <w:pPr>
        <w:ind w:firstLine="640" w:firstLineChars="200"/>
        <w:rPr>
          <w:rFonts w:ascii="Times New Roman" w:hAnsi="Times New Roman" w:eastAsia="仿宋" w:cs="仿宋"/>
          <w:sz w:val="32"/>
          <w:szCs w:val="32"/>
        </w:rPr>
      </w:pPr>
      <w:r>
        <w:rPr>
          <w:rFonts w:ascii="Times New Roman" w:hAnsi="Times New Roman" w:eastAsia="仿宋" w:cs="仿宋"/>
          <w:sz w:val="32"/>
          <w:szCs w:val="32"/>
        </w:rPr>
        <w:t>目前研究所在职教职工38名，包括教授10名（其中博导9名，含科学院院士1名），副高级职称教师10名，中级职称16名。其中年龄45岁以下者29名，博士学位获得者27名，杰出青年基金获得者2名，教育部新世纪优秀人才支持计划1名。</w:t>
      </w:r>
    </w:p>
    <w:p w14:paraId="3A07C0EF">
      <w:pPr>
        <w:ind w:firstLine="640" w:firstLineChars="200"/>
        <w:rPr>
          <w:rFonts w:ascii="Times New Roman" w:hAnsi="Times New Roman" w:eastAsia="仿宋" w:cs="仿宋"/>
          <w:sz w:val="32"/>
          <w:szCs w:val="32"/>
        </w:rPr>
      </w:pPr>
      <w:r>
        <w:rPr>
          <w:rFonts w:ascii="Times New Roman" w:hAnsi="Times New Roman" w:eastAsia="仿宋" w:cs="仿宋"/>
          <w:sz w:val="32"/>
          <w:szCs w:val="32"/>
        </w:rPr>
        <w:t>至2005年底，研究所共主持、参加并完成科研项目200多项，经费11500多万元，其中包括国家重点基础研究(973)项目2项、自然科学重大基金1项、重点基金4项、杰出青年基金2项（孙元章教授、梅生伟教授）以及面上基金10多项。获国家科技进步</w:t>
      </w:r>
      <w:r>
        <w:rPr>
          <w:rFonts w:hint="eastAsia" w:ascii="Times New Roman" w:hAnsi="Times New Roman" w:eastAsia="仿宋" w:cs="仿宋"/>
          <w:sz w:val="32"/>
          <w:szCs w:val="32"/>
          <w:lang w:eastAsia="zh-CN"/>
        </w:rPr>
        <w:t>奖</w:t>
      </w:r>
      <w:r>
        <w:rPr>
          <w:rFonts w:ascii="Times New Roman" w:hAnsi="Times New Roman" w:eastAsia="仿宋" w:cs="仿宋"/>
          <w:sz w:val="32"/>
          <w:szCs w:val="32"/>
        </w:rPr>
        <w:t>二等奖5项、三等奖4项，省部级科技进步一等奖7项、二等奖20多项。获国家级教学成果特等奖（与本系其他二级学科共同获得）、一等奖和二等奖各1项，并获省部级教学成果一、二等奖各2项，国家级精品课1门。培养毕业博士生100多名，硕士生500多名。累计出版专著和教材15部，发表论文1200余篇，其中SCI收录60多篇，EI收录500多篇。</w:t>
      </w:r>
    </w:p>
    <w:p w14:paraId="0972626B">
      <w:pPr>
        <w:ind w:firstLine="640" w:firstLineChars="200"/>
        <w:rPr>
          <w:rFonts w:ascii="Times New Roman" w:hAnsi="Times New Roman" w:eastAsia="仿宋" w:cs="仿宋"/>
          <w:sz w:val="32"/>
          <w:szCs w:val="32"/>
        </w:rPr>
      </w:pPr>
      <w:r>
        <w:rPr>
          <w:rFonts w:ascii="Times New Roman" w:hAnsi="Times New Roman" w:eastAsia="仿宋" w:cs="仿宋"/>
          <w:sz w:val="32"/>
          <w:szCs w:val="32"/>
        </w:rPr>
        <w:t>研究所坚持基础理论研究，长期致力于研究我国电力系统运行和发展中的重要理论课题，在解决大型复杂互联电力系统安全经济运行的基础理论问题方面进行了大量探索性的前沿工作。研究内容包括电力系统非线性控制理论、广域监测和控制保护理论、调度自动化理论和技术、电力市场运营理论、电力系统动态过程分析和计算技术以及分布式发电及接入等方面的核心问题。</w:t>
      </w:r>
    </w:p>
    <w:p w14:paraId="1DF1E618">
      <w:pPr>
        <w:ind w:firstLine="640" w:firstLineChars="200"/>
        <w:rPr>
          <w:rFonts w:ascii="Times New Roman" w:hAnsi="Times New Roman" w:eastAsia="仿宋" w:cs="仿宋"/>
          <w:sz w:val="32"/>
          <w:szCs w:val="32"/>
        </w:rPr>
      </w:pPr>
      <w:r>
        <w:rPr>
          <w:rFonts w:ascii="Times New Roman" w:hAnsi="Times New Roman" w:eastAsia="仿宋" w:cs="仿宋"/>
          <w:sz w:val="32"/>
          <w:szCs w:val="32"/>
        </w:rPr>
        <w:t>研究所坚持为国民经济主战场服务的方向，密切关注社会经济发展对电力行业的需求，致力于研究对电力系统安全经济运行具有重要实用价值的先进技术并使其实用化。研制开发的调度自动化系统（EMS/DMS）、电力市场交易系统、电网无功电压优化控制系统、负荷预测系统、区域稳定控制系统、水电站仿真和变电站仿真系统等都已在国内获得了成功并推广应用，为解决我国电力系统中的实际工程问题做出了积极的贡献。</w:t>
      </w:r>
    </w:p>
    <w:p w14:paraId="79908502">
      <w:pPr>
        <w:ind w:firstLine="640" w:firstLineChars="200"/>
        <w:rPr>
          <w:rFonts w:ascii="Times New Roman" w:hAnsi="Times New Roman" w:eastAsia="仿宋" w:cs="仿宋"/>
          <w:sz w:val="32"/>
          <w:szCs w:val="32"/>
        </w:rPr>
      </w:pPr>
      <w:r>
        <w:rPr>
          <w:rFonts w:ascii="Times New Roman" w:hAnsi="Times New Roman" w:eastAsia="仿宋" w:cs="仿宋"/>
          <w:sz w:val="32"/>
          <w:szCs w:val="32"/>
        </w:rPr>
        <w:t>研究所注重国际学术交流活动，“十五”期间教师和研究生参加国际科研合作活动共有约70人次，主办国际会议4次，参会海外专家共计180余人，接待外国专家访问参观和讲座约50人次，承担国际合作研究项目20多项。</w:t>
      </w:r>
    </w:p>
    <w:p w14:paraId="35611B7C">
      <w:pPr>
        <w:ind w:firstLine="640" w:firstLineChars="200"/>
        <w:rPr>
          <w:rFonts w:ascii="Times New Roman" w:hAnsi="Times New Roman" w:eastAsia="仿宋" w:cs="仿宋"/>
          <w:sz w:val="32"/>
          <w:szCs w:val="32"/>
        </w:rPr>
      </w:pPr>
      <w:r>
        <w:rPr>
          <w:rFonts w:hint="eastAsia" w:ascii="Times New Roman" w:hAnsi="Times New Roman" w:eastAsia="楷体" w:cs="楷体"/>
          <w:sz w:val="32"/>
          <w:szCs w:val="32"/>
        </w:rPr>
        <w:t>（二）</w:t>
      </w:r>
      <w:r>
        <w:rPr>
          <w:rFonts w:ascii="Times New Roman" w:hAnsi="Times New Roman" w:eastAsia="楷体" w:cs="楷体"/>
          <w:sz w:val="32"/>
          <w:szCs w:val="32"/>
        </w:rPr>
        <w:t>柔性交流输配电系统研究所</w:t>
      </w:r>
    </w:p>
    <w:p w14:paraId="30A237B1">
      <w:pPr>
        <w:ind w:firstLine="640" w:firstLineChars="200"/>
        <w:rPr>
          <w:rFonts w:ascii="Times New Roman" w:hAnsi="Times New Roman" w:eastAsia="仿宋" w:cs="仿宋"/>
          <w:sz w:val="32"/>
          <w:szCs w:val="32"/>
        </w:rPr>
      </w:pPr>
      <w:r>
        <w:rPr>
          <w:rFonts w:ascii="Times New Roman" w:hAnsi="Times New Roman" w:eastAsia="仿宋" w:cs="仿宋"/>
          <w:sz w:val="32"/>
          <w:szCs w:val="32"/>
        </w:rPr>
        <w:t>清华大学电机系柔性交流输配电系统研究所成立于1999年，主要从事柔性交流输配电技术在电力系统中的应用，基于GPS(全球定位系统)、PMU（相位测量单元）和现代通信技术的电力系统稳定控制新理论和新应用的研究，电力系统实时仿真和数字动模等方向的人才培养和科学研究，是国家重点学科电力系统及其自动化的重要组成部分。2001年清华－四方稳控技术联合研究所成立，挂靠本所。</w:t>
      </w:r>
    </w:p>
    <w:p w14:paraId="319FC8A1">
      <w:pPr>
        <w:ind w:firstLine="640" w:firstLineChars="200"/>
        <w:rPr>
          <w:rFonts w:ascii="Times New Roman" w:hAnsi="Times New Roman" w:eastAsia="仿宋" w:cs="仿宋"/>
          <w:sz w:val="32"/>
          <w:szCs w:val="32"/>
        </w:rPr>
      </w:pPr>
      <w:r>
        <w:rPr>
          <w:rFonts w:ascii="Times New Roman" w:hAnsi="Times New Roman" w:eastAsia="仿宋" w:cs="仿宋"/>
          <w:sz w:val="32"/>
          <w:szCs w:val="32"/>
        </w:rPr>
        <w:t>近5年来，为了更好地研究开发自主创新的高新技术和培养相关技术人才，研究所在两个方面有了新的发展变化：在过去应用实践的基础上总结提升为技术课题，在主持的国家重点基础研究发展计划（973计划）和国家自然科学基金重大项目中进行规律性理论研究；结合我国电力行业当前出现的重大技术问题，继续在实践中开创新的解决方法，如南方电网的弱阻尼分析及控制、华北系统中的次同步振荡分析与控制、电网暂态电压稳定及大容量STATCOM研制、用户侧电能质量（电压跌落、无功、闪变、谐波和不平衡）分析及控制等。在此过程中：</w:t>
      </w:r>
    </w:p>
    <w:p w14:paraId="44D58ABC">
      <w:pPr>
        <w:ind w:firstLine="640" w:firstLineChars="200"/>
        <w:rPr>
          <w:rFonts w:ascii="Times New Roman" w:hAnsi="Times New Roman" w:eastAsia="仿宋" w:cs="仿宋"/>
          <w:sz w:val="32"/>
          <w:szCs w:val="32"/>
        </w:rPr>
      </w:pPr>
      <w:r>
        <w:rPr>
          <w:rFonts w:hint="eastAsia" w:ascii="Times New Roman" w:hAnsi="Times New Roman" w:eastAsia="Courier New" w:cs="Courier New"/>
          <w:sz w:val="32"/>
          <w:szCs w:val="32"/>
        </w:rPr>
        <w:t>•</w:t>
      </w:r>
      <w:r>
        <w:rPr>
          <w:rFonts w:ascii="Times New Roman" w:hAnsi="Times New Roman" w:eastAsia="仿宋" w:cs="仿宋"/>
          <w:sz w:val="32"/>
          <w:szCs w:val="32"/>
        </w:rPr>
        <w:t>形成了在相关领域中老中青结合的实力雄厚的研究队伍，全所教师12人，其中工程院院士1名、教授4名、博士生导师2名、副教授3名，工程师4名，高级顾问2名及职工5名。在读博士生和硕士生共计40余名。教师9人有博士学位并都具有国外合作研究经历。</w:t>
      </w:r>
    </w:p>
    <w:p w14:paraId="7CB2CB5A">
      <w:pPr>
        <w:ind w:firstLine="640" w:firstLineChars="200"/>
        <w:rPr>
          <w:rFonts w:ascii="Times New Roman" w:hAnsi="Times New Roman" w:eastAsia="仿宋" w:cs="仿宋"/>
          <w:sz w:val="32"/>
          <w:szCs w:val="32"/>
        </w:rPr>
      </w:pPr>
      <w:r>
        <w:rPr>
          <w:rFonts w:ascii="Times New Roman" w:hAnsi="Times New Roman" w:eastAsia="仿宋" w:cs="Courier New"/>
          <w:sz w:val="32"/>
          <w:szCs w:val="32"/>
        </w:rPr>
        <w:t>•</w:t>
      </w:r>
      <w:r>
        <w:rPr>
          <w:rFonts w:ascii="Times New Roman" w:hAnsi="Times New Roman" w:eastAsia="仿宋" w:cs="仿宋"/>
          <w:sz w:val="32"/>
          <w:szCs w:val="32"/>
        </w:rPr>
        <w:t>初步建立了该学科方向的具有世界先进水平的硬软件环境，拥有自行研制的STATCOM和TCSC物理模拟装置，DVR，GTO/IGCT测试台，Uni-Con以及各种数字仿真软件(PSASP，PSS/E，NETOMAC，MATLAB，EMTDC等)。</w:t>
      </w:r>
    </w:p>
    <w:p w14:paraId="1CE3F2B1">
      <w:pPr>
        <w:ind w:firstLine="640" w:firstLineChars="200"/>
        <w:rPr>
          <w:rFonts w:ascii="Times New Roman" w:hAnsi="Times New Roman" w:eastAsia="仿宋" w:cs="仿宋"/>
          <w:sz w:val="32"/>
          <w:szCs w:val="32"/>
        </w:rPr>
      </w:pPr>
      <w:r>
        <w:rPr>
          <w:rFonts w:ascii="Times New Roman" w:hAnsi="Times New Roman" w:eastAsia="仿宋" w:cs="Courier New"/>
          <w:sz w:val="32"/>
          <w:szCs w:val="32"/>
        </w:rPr>
        <w:t>•</w:t>
      </w:r>
      <w:r>
        <w:rPr>
          <w:rFonts w:ascii="Times New Roman" w:hAnsi="Times New Roman" w:eastAsia="仿宋" w:cs="仿宋"/>
          <w:sz w:val="32"/>
          <w:szCs w:val="32"/>
        </w:rPr>
        <w:t>成功研制了基于IGCT的±50Mvar的STATCOM装置，于2006年4月通过国家电网公司验收，是目前国内最大容量的自换相换流器；与四方公司合作研制的系列电能质量控制产品已成功应用到工业生产中，如在鞍钢投运的16MDSTATCOM、在杭州投运的DVR等。</w:t>
      </w:r>
    </w:p>
    <w:p w14:paraId="616BCD99">
      <w:pPr>
        <w:ind w:firstLine="640" w:firstLineChars="200"/>
        <w:rPr>
          <w:rFonts w:ascii="Times New Roman" w:hAnsi="Times New Roman" w:eastAsia="仿宋" w:cs="仿宋"/>
          <w:sz w:val="32"/>
          <w:szCs w:val="32"/>
        </w:rPr>
      </w:pPr>
      <w:r>
        <w:rPr>
          <w:rFonts w:ascii="Times New Roman" w:hAnsi="Times New Roman" w:eastAsia="仿宋" w:cs="Courier New"/>
          <w:sz w:val="32"/>
          <w:szCs w:val="32"/>
        </w:rPr>
        <w:t>•</w:t>
      </w:r>
      <w:r>
        <w:rPr>
          <w:rFonts w:ascii="Times New Roman" w:hAnsi="Times New Roman" w:eastAsia="仿宋" w:cs="仿宋"/>
          <w:sz w:val="32"/>
          <w:szCs w:val="32"/>
        </w:rPr>
        <w:t>培养了一批高质量人才已毕业博士研究生22名，硕士22名。</w:t>
      </w:r>
    </w:p>
    <w:p w14:paraId="3E8D3F8A">
      <w:pPr>
        <w:ind w:firstLine="640" w:firstLineChars="200"/>
        <w:rPr>
          <w:rFonts w:ascii="Times New Roman" w:hAnsi="Times New Roman" w:eastAsia="仿宋" w:cs="仿宋"/>
          <w:sz w:val="32"/>
          <w:szCs w:val="32"/>
        </w:rPr>
      </w:pPr>
      <w:r>
        <w:rPr>
          <w:rFonts w:ascii="Times New Roman" w:hAnsi="Times New Roman" w:eastAsia="仿宋" w:cs="Courier New"/>
          <w:sz w:val="32"/>
          <w:szCs w:val="32"/>
        </w:rPr>
        <w:t>•</w:t>
      </w:r>
      <w:r>
        <w:rPr>
          <w:rFonts w:ascii="Times New Roman" w:hAnsi="Times New Roman" w:eastAsia="仿宋" w:cs="仿宋"/>
          <w:sz w:val="32"/>
          <w:szCs w:val="32"/>
        </w:rPr>
        <w:t>获国家科技进步</w:t>
      </w:r>
      <w:r>
        <w:rPr>
          <w:rFonts w:hint="eastAsia" w:ascii="Times New Roman" w:hAnsi="Times New Roman" w:eastAsia="仿宋" w:cs="仿宋"/>
          <w:sz w:val="32"/>
          <w:szCs w:val="32"/>
          <w:lang w:eastAsia="zh-CN"/>
        </w:rPr>
        <w:t>奖</w:t>
      </w:r>
      <w:r>
        <w:rPr>
          <w:rFonts w:ascii="Times New Roman" w:hAnsi="Times New Roman" w:eastAsia="仿宋" w:cs="仿宋"/>
          <w:sz w:val="32"/>
          <w:szCs w:val="32"/>
        </w:rPr>
        <w:t>二等奖1项，省部级科技进步一等奖1项。</w:t>
      </w:r>
    </w:p>
    <w:p w14:paraId="59849E55">
      <w:pPr>
        <w:ind w:firstLine="640" w:firstLineChars="200"/>
        <w:rPr>
          <w:rFonts w:ascii="Times New Roman" w:hAnsi="Times New Roman" w:eastAsia="仿宋" w:cs="仿宋"/>
          <w:sz w:val="32"/>
          <w:szCs w:val="32"/>
        </w:rPr>
      </w:pPr>
      <w:r>
        <w:rPr>
          <w:rFonts w:ascii="Times New Roman" w:hAnsi="Times New Roman" w:eastAsia="仿宋" w:cs="Courier New"/>
          <w:sz w:val="32"/>
          <w:szCs w:val="32"/>
        </w:rPr>
        <w:t>•</w:t>
      </w:r>
      <w:r>
        <w:rPr>
          <w:rFonts w:ascii="Times New Roman" w:hAnsi="Times New Roman" w:eastAsia="仿宋" w:cs="仿宋"/>
          <w:sz w:val="32"/>
          <w:szCs w:val="32"/>
        </w:rPr>
        <w:t>开展了较为广泛的国际科研合作：已与德国Siemens公司，日本三菱公司，新加坡国立大学和南洋理工大学，英国Brunel大学等建立了合作研究和人员交流。</w:t>
      </w:r>
    </w:p>
    <w:p w14:paraId="751A716D">
      <w:pPr>
        <w:ind w:firstLine="640" w:firstLineChars="200"/>
        <w:rPr>
          <w:rFonts w:ascii="Times New Roman" w:hAnsi="Times New Roman" w:eastAsia="仿宋" w:cs="仿宋"/>
          <w:sz w:val="32"/>
          <w:szCs w:val="32"/>
        </w:rPr>
      </w:pPr>
      <w:r>
        <w:rPr>
          <w:rFonts w:hint="eastAsia" w:ascii="Times New Roman" w:hAnsi="Times New Roman" w:eastAsia="楷体" w:cs="楷体"/>
          <w:sz w:val="32"/>
          <w:szCs w:val="32"/>
        </w:rPr>
        <w:t>（三）</w:t>
      </w:r>
      <w:r>
        <w:rPr>
          <w:rFonts w:ascii="Times New Roman" w:hAnsi="Times New Roman" w:eastAsia="楷体" w:cs="楷体"/>
          <w:sz w:val="32"/>
          <w:szCs w:val="32"/>
        </w:rPr>
        <w:t>高电压与绝缘技术研究所</w:t>
      </w:r>
    </w:p>
    <w:p w14:paraId="24AE3132">
      <w:pPr>
        <w:ind w:firstLine="640" w:firstLineChars="200"/>
        <w:rPr>
          <w:rFonts w:ascii="Times New Roman" w:hAnsi="Times New Roman" w:eastAsia="仿宋" w:cs="仿宋"/>
          <w:sz w:val="32"/>
          <w:szCs w:val="32"/>
        </w:rPr>
      </w:pPr>
      <w:r>
        <w:rPr>
          <w:rFonts w:ascii="Times New Roman" w:hAnsi="Times New Roman" w:eastAsia="仿宋" w:cs="仿宋"/>
          <w:sz w:val="32"/>
          <w:szCs w:val="32"/>
        </w:rPr>
        <w:t>清华大学电机系从二十世纪40年代就在国内率先开展了高电压技术方面的教学和科研工作。1955年清华大学电机系第一届高电压技术专门化的学生毕业；1959年第一届高电压技术专业的学生毕业。1978年我国建立研究生学位制度以后，本学科点被批准为我国第一批硕士、博士学位授予单位，培养出我国第一位高电压技术专业硕士和博士。2002年本学科再次被评为高电压与绝缘技术重点学科。至2005年底，本学科点已培养出硕士266名、博士63名；共接纳33名博士后。2005年本学科点与本系其他二级学科因为在基础教学方面的贡献获得国家教学成果二等奖。2006年获得全国百篇优秀博士论文一篇，2003年获得全国百篇优秀博士论文提名一篇。</w:t>
      </w:r>
    </w:p>
    <w:p w14:paraId="6F558660">
      <w:pPr>
        <w:ind w:firstLine="640" w:firstLineChars="200"/>
        <w:rPr>
          <w:rFonts w:ascii="Times New Roman" w:hAnsi="Times New Roman" w:eastAsia="仿宋" w:cs="仿宋"/>
          <w:sz w:val="32"/>
          <w:szCs w:val="32"/>
        </w:rPr>
      </w:pPr>
      <w:r>
        <w:rPr>
          <w:rFonts w:ascii="Times New Roman" w:hAnsi="Times New Roman" w:eastAsia="仿宋" w:cs="仿宋"/>
          <w:sz w:val="32"/>
          <w:szCs w:val="32"/>
        </w:rPr>
        <w:t>目前本学科点在职教职工21名，其中教授9名（博士生导师8名），副教授8名，讲师4名，博士后5名。本学科80%以上的教师具有博士学位。“十五”期间梁曦东教授和何金良教授获得国家杰出青年科学基金，周远翔教授和曾嵘副教授获得“教育部新世纪优秀人才支持计划”。</w:t>
      </w:r>
    </w:p>
    <w:p w14:paraId="1E9E20C2">
      <w:pPr>
        <w:ind w:firstLine="640" w:firstLineChars="200"/>
        <w:rPr>
          <w:rFonts w:ascii="Times New Roman" w:hAnsi="Times New Roman" w:eastAsia="仿宋" w:cs="仿宋"/>
          <w:sz w:val="32"/>
          <w:szCs w:val="32"/>
        </w:rPr>
      </w:pPr>
      <w:r>
        <w:rPr>
          <w:rFonts w:ascii="Times New Roman" w:hAnsi="Times New Roman" w:eastAsia="仿宋" w:cs="仿宋"/>
          <w:sz w:val="32"/>
          <w:szCs w:val="32"/>
        </w:rPr>
        <w:t>高电压与绝缘技术研究所兼顾电力和电工两大领域的发展，形成了高电压绝缘技术、高压输电与电磁环境技术、脉冲功率及等离子体技术、电器设备及智能化、高压测试及诊断技术、高电压技术在环保及生物领域中应用等六个核心研究方向。“十五”期间本学科点在高电压外绝缘、合成绝缘子、电介质空间电荷、新型输电技术、过电压防护及接地技术、电磁环境技术、电气设备在线监测与故障诊断、新型电器设备、脉冲功率技术、Z箍缩等离子体、大气压辉光放电、电磁生物效应等方面取得了多项具有重要价值的研究成果。本学科“十五”期间争取到科研建设经费5350多万元，其中纵向经费713万元，国际合作492万元。研究成果获国家奖1项、省部级奖7项。共发表学术论文511篇，其中被SCI收录43篇，被EI收录论文230篇；申请中国发明专利14项，已经授权发明专利12项；出版专著和教材共6本。</w:t>
      </w:r>
    </w:p>
    <w:p w14:paraId="23C5BC8F">
      <w:pPr>
        <w:ind w:firstLine="640" w:firstLineChars="200"/>
        <w:rPr>
          <w:rFonts w:ascii="Times New Roman" w:hAnsi="Times New Roman" w:eastAsia="仿宋" w:cs="仿宋"/>
          <w:sz w:val="32"/>
          <w:szCs w:val="32"/>
        </w:rPr>
      </w:pPr>
      <w:r>
        <w:rPr>
          <w:rFonts w:ascii="Times New Roman" w:hAnsi="Times New Roman" w:eastAsia="仿宋" w:cs="仿宋"/>
          <w:sz w:val="32"/>
          <w:szCs w:val="32"/>
        </w:rPr>
        <w:t>在国际学术交流与合作方面，2005年本学科成功举办了第14届高电压工程国际会议，2004年成功举办了第12届亚洲放电会议。本学科多位教师在国际学术组织中任职，担任CIGRE委员、IEC多个工作组成员、IEEETrans.DEI编委等。“十五”期间境外合作项目15项，参与4项IEC标准的起草。</w:t>
      </w:r>
    </w:p>
    <w:p w14:paraId="71A2B790">
      <w:pPr>
        <w:ind w:firstLine="640" w:firstLineChars="200"/>
        <w:rPr>
          <w:rFonts w:ascii="Times New Roman" w:hAnsi="Times New Roman" w:eastAsia="仿宋" w:cs="仿宋"/>
          <w:sz w:val="32"/>
          <w:szCs w:val="32"/>
        </w:rPr>
      </w:pPr>
      <w:r>
        <w:rPr>
          <w:rFonts w:hint="eastAsia" w:ascii="Times New Roman" w:hAnsi="Times New Roman" w:eastAsia="楷体" w:cs="楷体"/>
          <w:sz w:val="32"/>
          <w:szCs w:val="32"/>
        </w:rPr>
        <w:t>（四）</w:t>
      </w:r>
      <w:r>
        <w:rPr>
          <w:rFonts w:ascii="Times New Roman" w:hAnsi="Times New Roman" w:eastAsia="楷体" w:cs="楷体"/>
          <w:sz w:val="32"/>
          <w:szCs w:val="32"/>
        </w:rPr>
        <w:t>电力电子与电机系统研究所</w:t>
      </w:r>
    </w:p>
    <w:p w14:paraId="23067ECC">
      <w:pPr>
        <w:ind w:firstLine="640" w:firstLineChars="200"/>
        <w:rPr>
          <w:rFonts w:ascii="Times New Roman" w:hAnsi="Times New Roman" w:eastAsia="仿宋" w:cs="仿宋"/>
          <w:sz w:val="32"/>
          <w:szCs w:val="32"/>
        </w:rPr>
      </w:pPr>
      <w:r>
        <w:rPr>
          <w:rFonts w:ascii="Times New Roman" w:hAnsi="Times New Roman" w:eastAsia="仿宋" w:cs="仿宋"/>
          <w:sz w:val="32"/>
          <w:szCs w:val="32"/>
        </w:rPr>
        <w:t>电力电子与电机系统研究所（原电机及其控制教研组）涵盖电机与电器、电力电子与电力传动两个二级学科，同时依托“清华大学电力系统及发电设备控制和仿真”国家重点实验室的大电机与电气设备智能化、电力电子与电能变换分室。本学科在1981年被批准为全国首批博士、硕士点，1986年设立全国第一批博士后流动工作站，1988年电机与电器学科被评为全国首批重点学科，2002年再度评为全国重点学科。目前研究所拥有在职教职工20名，其中教授（博导）6名，副教授7名，讲师4名，博士后3名。</w:t>
      </w:r>
    </w:p>
    <w:p w14:paraId="081E1274">
      <w:pPr>
        <w:ind w:firstLine="640" w:firstLineChars="200"/>
        <w:rPr>
          <w:rFonts w:ascii="Times New Roman" w:hAnsi="Times New Roman" w:eastAsia="仿宋" w:cs="仿宋"/>
          <w:sz w:val="32"/>
          <w:szCs w:val="32"/>
        </w:rPr>
      </w:pPr>
      <w:r>
        <w:rPr>
          <w:rFonts w:ascii="Times New Roman" w:hAnsi="Times New Roman" w:eastAsia="仿宋" w:cs="仿宋"/>
          <w:sz w:val="32"/>
          <w:szCs w:val="32"/>
        </w:rPr>
        <w:t>近5年来，研究所共培养博士生41名，硕士生118名，出版教材近10部，发表论文300多篇。同时，承担和完成的主要科研项目近百项，经费近5000万元，其中国家863计划项目6项、国家自然科学基金项目6项、国际合作项目12项。研究成果获省部级科技奖4项，国家发明专利授权25项。</w:t>
      </w:r>
    </w:p>
    <w:p w14:paraId="0FE94194">
      <w:pPr>
        <w:ind w:firstLine="640" w:firstLineChars="200"/>
        <w:rPr>
          <w:rFonts w:ascii="Times New Roman" w:hAnsi="Times New Roman" w:eastAsia="仿宋" w:cs="仿宋"/>
          <w:sz w:val="32"/>
          <w:szCs w:val="32"/>
        </w:rPr>
      </w:pPr>
      <w:r>
        <w:rPr>
          <w:rFonts w:ascii="Times New Roman" w:hAnsi="Times New Roman" w:eastAsia="仿宋" w:cs="仿宋"/>
          <w:sz w:val="32"/>
          <w:szCs w:val="32"/>
        </w:rPr>
        <w:t>五年间，研究所按照学科发展的需要，确立了交流电机系统分析、特种电机系统及其控制、电力电子与电机系统集成、电力电子功率变换系统、交流电力传动与控制和新型大容量功率电器装置等6个主要学科发展方向，主要研究交流电机系统的动态过程及其控制，特种电机及其系统的分析、设计与控制方法，高性能、大容量、全数字化交流电机控制系统的理论和应用研究，电力电子变流装置的拓扑结构、控制方法、驱动保护技术、电磁兼容、热损耗与效率，现代电力电子技术与电机及其控制的一体化技术等问题。</w:t>
      </w:r>
    </w:p>
    <w:p w14:paraId="4FECE8B7">
      <w:pPr>
        <w:ind w:firstLine="640" w:firstLineChars="200"/>
        <w:rPr>
          <w:rFonts w:ascii="Times New Roman" w:hAnsi="Times New Roman" w:eastAsia="仿宋" w:cs="仿宋"/>
          <w:sz w:val="32"/>
          <w:szCs w:val="32"/>
        </w:rPr>
      </w:pPr>
      <w:r>
        <w:rPr>
          <w:rFonts w:ascii="Times New Roman" w:hAnsi="Times New Roman" w:eastAsia="仿宋" w:cs="仿宋"/>
          <w:sz w:val="32"/>
          <w:szCs w:val="32"/>
        </w:rPr>
        <w:t>五年间，研究所在新能源发电系统、电气交通牵引系统、大容量电力电子驱动系统、电机系统主设备监测与保护、超导与电能质量调节技术等应用研究中形成了鲜明的特色，取得了诸如大型发电机内部故障主保护的定量化设计、大型发电机与变压器放电性等故障的在线监测与诊断技术、高压大容量变频调速电机系统、兆瓦级变速恒频双馈风力发电机系统、燃料电池客车电机及其控制系统和太阳能扬水与照明综合应用系统等一批具有国际或国内领先水平的重要科研成果，在包括三峡电站在内的多个国民经济重要领域得到了成功应用。</w:t>
      </w:r>
    </w:p>
    <w:p w14:paraId="748E0AD4">
      <w:pPr>
        <w:ind w:firstLine="640" w:firstLineChars="200"/>
        <w:rPr>
          <w:rFonts w:ascii="Times New Roman" w:hAnsi="Times New Roman" w:eastAsia="仿宋" w:cs="仿宋"/>
          <w:sz w:val="32"/>
          <w:szCs w:val="32"/>
        </w:rPr>
      </w:pPr>
      <w:r>
        <w:rPr>
          <w:rFonts w:ascii="Times New Roman" w:hAnsi="Times New Roman" w:eastAsia="仿宋" w:cs="仿宋"/>
          <w:sz w:val="32"/>
          <w:szCs w:val="32"/>
        </w:rPr>
        <w:t>研究所在面向国民经济主战场，积极参与和承担国家重大项目建设的同时，加强了国内外大型企业建立了紧密合作关系。先后与许继电气、国电南自和保定天威等国有大型企业成立了联合研究所，与三菱重工、三菱电机、ABB和西门子等等国际知名企业建立了长期合作关系。还与美、日、德、法、英、俄、韩、台湾和香港等国家和地区的学术界建立了广泛的联系和合作关系。</w:t>
      </w:r>
    </w:p>
    <w:p w14:paraId="4C242421">
      <w:pPr>
        <w:ind w:firstLine="640" w:firstLineChars="200"/>
        <w:rPr>
          <w:rFonts w:ascii="Times New Roman" w:hAnsi="Times New Roman" w:eastAsia="仿宋" w:cs="仿宋"/>
          <w:sz w:val="32"/>
          <w:szCs w:val="32"/>
        </w:rPr>
      </w:pPr>
      <w:r>
        <w:rPr>
          <w:rFonts w:hint="eastAsia" w:ascii="Times New Roman" w:hAnsi="Times New Roman" w:eastAsia="楷体" w:cs="楷体"/>
          <w:sz w:val="32"/>
          <w:szCs w:val="32"/>
        </w:rPr>
        <w:t>（五）</w:t>
      </w:r>
      <w:r>
        <w:rPr>
          <w:rFonts w:ascii="Times New Roman" w:hAnsi="Times New Roman" w:eastAsia="楷体" w:cs="楷体"/>
          <w:sz w:val="32"/>
          <w:szCs w:val="32"/>
        </w:rPr>
        <w:t>电气新技术研究所</w:t>
      </w:r>
    </w:p>
    <w:p w14:paraId="694B860E">
      <w:pPr>
        <w:ind w:firstLine="640" w:firstLineChars="200"/>
        <w:rPr>
          <w:rFonts w:ascii="Times New Roman" w:hAnsi="Times New Roman" w:eastAsia="仿宋" w:cs="仿宋"/>
          <w:sz w:val="32"/>
          <w:szCs w:val="32"/>
        </w:rPr>
      </w:pPr>
      <w:r>
        <w:rPr>
          <w:rFonts w:ascii="Times New Roman" w:hAnsi="Times New Roman" w:eastAsia="仿宋" w:cs="仿宋"/>
          <w:sz w:val="32"/>
          <w:szCs w:val="32"/>
        </w:rPr>
        <w:t>电气新技术研究所诞生于从事电工基础教学的教研组，依托“电工理论与新技术”国家重点学科。本所自上世纪50年代起开始培养研究生，1978年开始批量招收研究生，1981年被国务院学位委员会批准为首批博士点，1988年被评为全国理论电工学科唯一的国家重点学科点，2002年再次被评为国家重点学科。学科点的创始人王先冲、肖达川、唐统一教授是我国首批博士生导师，1983年王先冲教授培养出我国本学科第一名博士（罗飞路）。</w:t>
      </w:r>
    </w:p>
    <w:p w14:paraId="71DC9366">
      <w:pPr>
        <w:ind w:firstLine="640" w:firstLineChars="200"/>
        <w:rPr>
          <w:rFonts w:ascii="Times New Roman" w:hAnsi="Times New Roman" w:eastAsia="仿宋" w:cs="仿宋"/>
          <w:sz w:val="32"/>
          <w:szCs w:val="32"/>
        </w:rPr>
      </w:pPr>
      <w:r>
        <w:rPr>
          <w:rFonts w:ascii="Times New Roman" w:hAnsi="Times New Roman" w:eastAsia="仿宋" w:cs="仿宋"/>
          <w:sz w:val="32"/>
          <w:szCs w:val="32"/>
        </w:rPr>
        <w:t>清华大学电机系在博士生培养方面获得1997年当年唯一的国家教学成果特等奖（本所教授肖达川为获奖人之一）。1999年和2000年本所各有一篇博士论文获得电气工程学科当年唯一的全国优秀博士学位论文奖（程志光、涂愈明），2004年获得一篇全国优秀博士学位论文提名奖（汪芙平）。“十五”期间本所共招收24名博士研究生，73名硕士研究生；毕业7名博士研究生，68名硕士研究生。毕业研究生中1名获得全国百篇优秀博士学位论文提名奖，2名获得清华大学优秀博士学位论文奖，6名获得清华大学优秀硕士学位论文奖，2名获得清华大学优秀博士毕业生称号。许多博士毕业生在北京大学、北京航空航天大学、东南大学、国防科技大学、海军工程大学、华东理工大学、清华大学、中国农业大学等大学任教，成为教学、科研和教育管理骨干。本所承担了全校电类专业“电路原理”（每年约35个班、1000学生）基础课程的教学工作。2005年该课程获北京市精品课称号。</w:t>
      </w:r>
    </w:p>
    <w:p w14:paraId="6BF31E44">
      <w:pPr>
        <w:ind w:firstLine="640" w:firstLineChars="200"/>
        <w:rPr>
          <w:rFonts w:ascii="Times New Roman" w:hAnsi="Times New Roman" w:eastAsia="仿宋" w:cs="仿宋"/>
          <w:sz w:val="32"/>
          <w:szCs w:val="32"/>
        </w:rPr>
      </w:pPr>
      <w:r>
        <w:rPr>
          <w:rFonts w:ascii="Times New Roman" w:hAnsi="Times New Roman" w:eastAsia="仿宋" w:cs="仿宋"/>
          <w:sz w:val="32"/>
          <w:szCs w:val="32"/>
        </w:rPr>
        <w:t>截至2006年底，本所在职教职工26人，其中正高8人，副高7人，中级8人，博士后2人，具有博士学位的教师有12名，青年教师已经成为本所教学、科研骨干。</w:t>
      </w:r>
    </w:p>
    <w:p w14:paraId="1B9CC20D">
      <w:pPr>
        <w:ind w:firstLine="640" w:firstLineChars="200"/>
        <w:rPr>
          <w:rFonts w:ascii="Times New Roman" w:hAnsi="Times New Roman" w:eastAsia="仿宋" w:cs="仿宋"/>
          <w:sz w:val="32"/>
          <w:szCs w:val="32"/>
        </w:rPr>
      </w:pPr>
      <w:r>
        <w:rPr>
          <w:rFonts w:ascii="Times New Roman" w:hAnsi="Times New Roman" w:eastAsia="仿宋" w:cs="仿宋"/>
          <w:sz w:val="32"/>
          <w:szCs w:val="32"/>
        </w:rPr>
        <w:t>“十五”期间本所着重开拓学科新方向，特别是现代信号处理理论在通信对抗中的应用，电磁场理论在电磁发射、核爆防护领域的应用，测量不确定度理论在航天传感器系统中的应用等军工科研新方向，大大突出了电工理论与新技术学科的特色，增强了科学研究、人才培养与国家重大需求的联系。“十五”期间共到款经费超过1300万元，其中包括主持和参加各1项国家自然科学基金重点项目，主持5项国家自然科学基金面上项目，9项国防“863”、“新概念武器”和“预先研究”项目，30多个来自工业界的项目；在通信对抗、电磁发射、超导应用、电能质量等重要科研领域取得一批有重要价值的成果；共发表学术论文230余篇，其中被SCI收录40篇，被EI收录论文83篇（与SCI收录重复的文章除外）；申请中国发明专利17项，已经授权专利10项；出版专著、教材和译著共12本。</w:t>
      </w:r>
    </w:p>
    <w:p w14:paraId="039233C7">
      <w:pPr>
        <w:ind w:firstLine="880" w:firstLineChars="200"/>
        <w:jc w:val="center"/>
        <w:rPr>
          <w:rFonts w:hint="eastAsia" w:ascii="宋体" w:hAnsi="宋体" w:eastAsia="宋体" w:cs="宋体"/>
          <w:sz w:val="44"/>
          <w:szCs w:val="44"/>
        </w:rPr>
      </w:pPr>
      <w:r>
        <w:rPr>
          <w:rFonts w:hint="eastAsia" w:ascii="宋体" w:hAnsi="宋体" w:eastAsia="宋体" w:cs="宋体"/>
          <w:sz w:val="44"/>
          <w:szCs w:val="44"/>
        </w:rPr>
        <w:t>电机系教师（部分）简介</w:t>
      </w:r>
    </w:p>
    <w:p w14:paraId="779DC2BB">
      <w:pPr>
        <w:ind w:firstLine="640" w:firstLineChars="200"/>
        <w:jc w:val="center"/>
        <w:rPr>
          <w:rFonts w:ascii="Times New Roman" w:hAnsi="Times New Roman" w:eastAsia="仿宋" w:cs="仿宋"/>
          <w:sz w:val="32"/>
          <w:szCs w:val="32"/>
        </w:rPr>
      </w:pPr>
    </w:p>
    <w:p w14:paraId="0B061AB0">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1.</w:t>
      </w:r>
      <w:r>
        <w:rPr>
          <w:rFonts w:ascii="Times New Roman" w:hAnsi="Times New Roman" w:eastAsia="仿宋" w:cs="仿宋"/>
          <w:sz w:val="32"/>
          <w:szCs w:val="32"/>
        </w:rPr>
        <w:t>余占清</w:t>
      </w:r>
      <w:r>
        <w:rPr>
          <w:rFonts w:hint="eastAsia" w:ascii="Times New Roman" w:hAnsi="Times New Roman" w:eastAsia="仿宋" w:cs="仿宋"/>
          <w:sz w:val="32"/>
          <w:szCs w:val="32"/>
        </w:rPr>
        <w:t>教授，</w:t>
      </w:r>
      <w:r>
        <w:rPr>
          <w:rFonts w:ascii="Times New Roman" w:hAnsi="Times New Roman" w:eastAsia="仿宋" w:cs="仿宋"/>
          <w:sz w:val="32"/>
          <w:szCs w:val="32"/>
        </w:rPr>
        <w:t>系党委副书记</w:t>
      </w:r>
    </w:p>
    <w:p w14:paraId="44DBA917">
      <w:pPr>
        <w:ind w:firstLine="640" w:firstLineChars="200"/>
        <w:rPr>
          <w:rFonts w:ascii="Times New Roman" w:hAnsi="Times New Roman" w:eastAsia="仿宋" w:cs="仿宋"/>
          <w:sz w:val="32"/>
          <w:szCs w:val="32"/>
        </w:rPr>
      </w:pPr>
      <w:r>
        <w:rPr>
          <w:rFonts w:ascii="Times New Roman" w:hAnsi="Times New Roman" w:eastAsia="仿宋" w:cs="仿宋"/>
          <w:sz w:val="32"/>
          <w:szCs w:val="32"/>
        </w:rPr>
        <w:t>主要从事直流电网基础元器件、关键装备、电磁防护等方面研究，2008年毕业于清华大学电机系，获电气工程专业博士学位。清华大学电机系副书记、长聘教授，清华大学能源互联网研究院直流研究中心主任。2019年获批国家基金委优秀青年基金（优青），2025年入选“教育部长江学者奖励计划特聘教授”</w:t>
      </w:r>
      <w:r>
        <w:rPr>
          <w:rFonts w:hint="eastAsia" w:ascii="Times New Roman" w:hAnsi="Times New Roman" w:eastAsia="仿宋" w:cs="仿宋"/>
          <w:sz w:val="32"/>
          <w:szCs w:val="32"/>
        </w:rPr>
        <w:t>。</w:t>
      </w:r>
      <w:r>
        <w:rPr>
          <w:rFonts w:ascii="Times New Roman" w:hAnsi="Times New Roman" w:eastAsia="仿宋" w:cs="仿宋"/>
          <w:sz w:val="32"/>
          <w:szCs w:val="32"/>
        </w:rPr>
        <w:t>主持或参与自然科学基金项目、国家重点研发计划、973、863等多项。已发表论文300余篇，其中SCI收录100余篇，获授权发明专利150余项，曾获国家技术发明二等奖1项，省部与学会科技一等奖10余项，获IET E&amp;T创新奖等多项国际学术奖励。担任国际会议IET ACDC技术委员会主席、IEEE ICDS 技术委员会联合主席、IEEE P1870标准工作组副主席、IEEE 直流系统规划与设计技术委员会常务理事等。</w:t>
      </w:r>
    </w:p>
    <w:p w14:paraId="7A879CE3">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2.李永东教授</w:t>
      </w:r>
    </w:p>
    <w:p w14:paraId="2F03066B">
      <w:pPr>
        <w:ind w:firstLine="640" w:firstLineChars="200"/>
        <w:rPr>
          <w:rFonts w:ascii="Times New Roman" w:hAnsi="Times New Roman" w:eastAsia="仿宋" w:cs="仿宋"/>
          <w:sz w:val="32"/>
          <w:szCs w:val="32"/>
        </w:rPr>
      </w:pPr>
      <w:r>
        <w:rPr>
          <w:rFonts w:ascii="Times New Roman" w:hAnsi="Times New Roman" w:eastAsia="仿宋" w:cs="仿宋"/>
          <w:sz w:val="32"/>
          <w:szCs w:val="32"/>
        </w:rPr>
        <w:t>主要从事高性能、大容量</w:t>
      </w:r>
      <w:r>
        <w:rPr>
          <w:rFonts w:hint="eastAsia" w:ascii="Times New Roman" w:hAnsi="Times New Roman" w:eastAsia="仿宋" w:cs="仿宋"/>
          <w:sz w:val="32"/>
          <w:szCs w:val="32"/>
        </w:rPr>
        <w:t>、</w:t>
      </w:r>
      <w:r>
        <w:rPr>
          <w:rFonts w:ascii="Times New Roman" w:hAnsi="Times New Roman" w:eastAsia="仿宋" w:cs="仿宋"/>
          <w:sz w:val="32"/>
          <w:szCs w:val="32"/>
        </w:rPr>
        <w:t>全数字化交流电机控制系统理论和应用研究，尤其在交流电机直接转矩控制理论及其数字化实现等方面提出自己的控制方法和理论，成果居于世界领先水平。截至2022年7月，李永东已发表论文400余篇，其中52篇被SCI收录，261篇被EI收录，20多篇获国内外会议和刊物优秀论文奖，出版专著5部。现任清华大学电机工程系教授，博士生导师，先进电能变换与电气化交通团队负责人，清华大学新概念汽车研究院副院长</w:t>
      </w:r>
      <w:r>
        <w:rPr>
          <w:rFonts w:hint="eastAsia" w:ascii="Times New Roman" w:hAnsi="Times New Roman" w:eastAsia="仿宋" w:cs="仿宋"/>
          <w:sz w:val="32"/>
          <w:szCs w:val="32"/>
        </w:rPr>
        <w:t>，主持清华大学电力电子及电机控制实验室</w:t>
      </w:r>
      <w:r>
        <w:rPr>
          <w:rFonts w:ascii="Times New Roman" w:hAnsi="Times New Roman" w:eastAsia="仿宋" w:cs="仿宋"/>
          <w:sz w:val="32"/>
          <w:szCs w:val="32"/>
        </w:rPr>
        <w:t>。中国电力电子学会副理事长，中国电源学会电气化交通专委会主任， 中国电工技术学会会士，电控装置 及系统专委会副主任，中国自动化学会电气自动化专委会副主任。欧洲工程院外籍院士，美国IEEE IAS北京分会主席</w:t>
      </w:r>
      <w:r>
        <w:rPr>
          <w:rFonts w:hint="eastAsia" w:ascii="Times New Roman" w:hAnsi="Times New Roman" w:eastAsia="仿宋" w:cs="仿宋"/>
          <w:sz w:val="32"/>
          <w:szCs w:val="32"/>
        </w:rPr>
        <w:t>，</w:t>
      </w:r>
      <w:r>
        <w:rPr>
          <w:rFonts w:ascii="Times New Roman" w:hAnsi="Times New Roman" w:eastAsia="仿宋" w:cs="仿宋"/>
          <w:sz w:val="32"/>
          <w:szCs w:val="32"/>
        </w:rPr>
        <w:t>英国IET Fellow。</w:t>
      </w:r>
    </w:p>
    <w:p w14:paraId="5FEA437B">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3.胡泽春教授</w:t>
      </w:r>
    </w:p>
    <w:p w14:paraId="15EE29E0">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研究方向为</w:t>
      </w:r>
      <w:r>
        <w:rPr>
          <w:rFonts w:ascii="Times New Roman" w:hAnsi="Times New Roman" w:eastAsia="仿宋" w:cs="仿宋"/>
          <w:sz w:val="32"/>
          <w:szCs w:val="32"/>
        </w:rPr>
        <w:t>电力系统运行与优化、电动汽车与电网互动、储能系统的应用、需求侧响应、电力系统规划、电力市场</w:t>
      </w:r>
      <w:r>
        <w:rPr>
          <w:rFonts w:hint="eastAsia" w:ascii="Times New Roman" w:hAnsi="Times New Roman" w:eastAsia="仿宋" w:cs="仿宋"/>
          <w:sz w:val="32"/>
          <w:szCs w:val="32"/>
        </w:rPr>
        <w:t>。</w:t>
      </w:r>
      <w:r>
        <w:rPr>
          <w:rFonts w:ascii="Times New Roman" w:hAnsi="Times New Roman" w:eastAsia="仿宋" w:cs="仿宋"/>
          <w:sz w:val="32"/>
          <w:szCs w:val="32"/>
        </w:rPr>
        <w:t>现为电力系统研究所所长、清华能源互联网创新研究院交通能源优化与规划</w:t>
      </w:r>
      <w:r>
        <w:rPr>
          <w:rFonts w:hint="eastAsia" w:ascii="Times New Roman" w:hAnsi="Times New Roman" w:eastAsia="仿宋" w:cs="仿宋"/>
          <w:sz w:val="32"/>
          <w:szCs w:val="32"/>
          <w:lang w:eastAsia="zh-CN"/>
        </w:rPr>
        <w:t>研究</w:t>
      </w:r>
      <w:bookmarkStart w:id="0" w:name="_GoBack"/>
      <w:bookmarkEnd w:id="0"/>
      <w:r>
        <w:rPr>
          <w:rFonts w:ascii="Times New Roman" w:hAnsi="Times New Roman" w:eastAsia="仿宋" w:cs="仿宋"/>
          <w:sz w:val="32"/>
          <w:szCs w:val="32"/>
        </w:rPr>
        <w:t>室主任、IET Fellow，IEEE高级会员，中国自动化学会高级会员，中国自动化学会智能分布式能源专委会副主任委员、IEEE PES(中国)电动汽车与能源交通系统融合技术分委会主席、中国电机工程学会智能充换电设施专委会副秘书长、电工技术学会电动汽车充换电系统与试验专业委员会委员、中国能源研究会储能专委会委员。</w:t>
      </w:r>
    </w:p>
    <w:p w14:paraId="6017F92C">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4.陈磊研究员</w:t>
      </w:r>
    </w:p>
    <w:p w14:paraId="5BA90AD5">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研究方向为</w:t>
      </w:r>
      <w:r>
        <w:rPr>
          <w:rFonts w:ascii="Times New Roman" w:hAnsi="Times New Roman" w:eastAsia="仿宋" w:cs="仿宋"/>
          <w:sz w:val="32"/>
          <w:szCs w:val="32"/>
        </w:rPr>
        <w:t>电力系统稳定、电力系统动态分析与控制</w:t>
      </w:r>
      <w:r>
        <w:rPr>
          <w:rFonts w:hint="eastAsia" w:ascii="Times New Roman" w:hAnsi="Times New Roman" w:eastAsia="仿宋" w:cs="仿宋"/>
          <w:sz w:val="32"/>
          <w:szCs w:val="32"/>
        </w:rPr>
        <w:t>。</w:t>
      </w:r>
      <w:r>
        <w:rPr>
          <w:rFonts w:ascii="Times New Roman" w:hAnsi="Times New Roman" w:eastAsia="仿宋" w:cs="仿宋"/>
          <w:sz w:val="32"/>
          <w:szCs w:val="32"/>
        </w:rPr>
        <w:t>在电力系统低频/超低频振荡分析与控制、新能源并网的安全稳定分析、电力系统频率控制等方面均展开了大量深入研究，主持多项国家自然科学基金项目（包括优秀青年科学基金项目）、国家重点研发计划课题等国家级项目，发表SCI/EI论文200余篇，获国家技术发明二等奖1项、省部级科技奖励多项。</w:t>
      </w:r>
    </w:p>
    <w:p w14:paraId="1F518285">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5.</w:t>
      </w:r>
      <w:r>
        <w:rPr>
          <w:rFonts w:ascii="Times New Roman" w:hAnsi="Times New Roman" w:eastAsia="仿宋" w:cs="仿宋"/>
          <w:sz w:val="32"/>
          <w:szCs w:val="32"/>
        </w:rPr>
        <w:t>于庆广</w:t>
      </w:r>
      <w:r>
        <w:rPr>
          <w:rFonts w:hint="eastAsia" w:ascii="Times New Roman" w:hAnsi="Times New Roman" w:eastAsia="仿宋" w:cs="仿宋"/>
          <w:sz w:val="32"/>
          <w:szCs w:val="32"/>
        </w:rPr>
        <w:t>副研究员</w:t>
      </w:r>
    </w:p>
    <w:p w14:paraId="026706A5">
      <w:pPr>
        <w:ind w:firstLine="640" w:firstLineChars="200"/>
        <w:rPr>
          <w:rFonts w:ascii="Times New Roman" w:hAnsi="Times New Roman" w:eastAsia="仿宋" w:cs="仿宋"/>
          <w:sz w:val="32"/>
          <w:szCs w:val="32"/>
        </w:rPr>
      </w:pPr>
      <w:r>
        <w:rPr>
          <w:rFonts w:hint="eastAsia" w:ascii="Times New Roman" w:hAnsi="Times New Roman" w:eastAsia="仿宋" w:cs="仿宋"/>
          <w:sz w:val="32"/>
          <w:szCs w:val="32"/>
        </w:rPr>
        <w:t>研究方向</w:t>
      </w:r>
      <w:r>
        <w:rPr>
          <w:rFonts w:ascii="Times New Roman" w:hAnsi="Times New Roman" w:eastAsia="仿宋" w:cs="仿宋"/>
          <w:sz w:val="32"/>
          <w:szCs w:val="32"/>
        </w:rPr>
        <w:t>为交直流互联微型电网和储能系统态势感知与分析控制</w:t>
      </w:r>
      <w:r>
        <w:rPr>
          <w:rFonts w:hint="eastAsia" w:ascii="Times New Roman" w:hAnsi="Times New Roman" w:eastAsia="仿宋" w:cs="仿宋"/>
          <w:sz w:val="32"/>
          <w:szCs w:val="32"/>
        </w:rPr>
        <w:t>。技术开发创新（已成果转化）方面：（1）</w:t>
      </w:r>
      <w:r>
        <w:rPr>
          <w:rFonts w:ascii="Times New Roman" w:hAnsi="Times New Roman" w:eastAsia="仿宋" w:cs="仿宋"/>
          <w:sz w:val="32"/>
          <w:szCs w:val="32"/>
        </w:rPr>
        <w:t>提出分布式多站融合能源站站级电冷热一体化微电网AI控制技术</w:t>
      </w:r>
      <w:r>
        <w:rPr>
          <w:rFonts w:hint="eastAsia" w:ascii="Times New Roman" w:hAnsi="Times New Roman" w:eastAsia="仿宋" w:cs="仿宋"/>
          <w:sz w:val="32"/>
          <w:szCs w:val="32"/>
        </w:rPr>
        <w:t>。（2）</w:t>
      </w:r>
      <w:r>
        <w:rPr>
          <w:rFonts w:ascii="Times New Roman" w:hAnsi="Times New Roman" w:eastAsia="仿宋" w:cs="仿宋"/>
          <w:sz w:val="32"/>
          <w:szCs w:val="32"/>
        </w:rPr>
        <w:t>提出源网荷储的新能源光储充放发电站集成优化区域动态分区控制技术</w:t>
      </w:r>
      <w:r>
        <w:rPr>
          <w:rFonts w:hint="eastAsia" w:ascii="Times New Roman" w:hAnsi="Times New Roman" w:eastAsia="仿宋" w:cs="仿宋"/>
          <w:sz w:val="32"/>
          <w:szCs w:val="32"/>
        </w:rPr>
        <w:t>。（3）</w:t>
      </w:r>
      <w:r>
        <w:rPr>
          <w:rFonts w:ascii="Times New Roman" w:hAnsi="Times New Roman" w:eastAsia="仿宋" w:cs="仿宋"/>
          <w:sz w:val="32"/>
          <w:szCs w:val="32"/>
        </w:rPr>
        <w:t>提出交直流互联混合微型电网态势感知与精准控制技术</w:t>
      </w:r>
      <w:r>
        <w:rPr>
          <w:rFonts w:hint="eastAsia" w:ascii="Times New Roman" w:hAnsi="Times New Roman" w:eastAsia="仿宋" w:cs="仿宋"/>
          <w:sz w:val="32"/>
          <w:szCs w:val="32"/>
        </w:rPr>
        <w:t>。（4）</w:t>
      </w:r>
      <w:r>
        <w:rPr>
          <w:rFonts w:ascii="Times New Roman" w:hAnsi="Times New Roman" w:eastAsia="仿宋" w:cs="仿宋"/>
          <w:sz w:val="32"/>
          <w:szCs w:val="32"/>
        </w:rPr>
        <w:t>提出多元用户可靠性需求差异的储能系统功能复用控制策略的微电网韧性增强控制技术</w:t>
      </w:r>
      <w:r>
        <w:rPr>
          <w:rFonts w:hint="eastAsia" w:ascii="Times New Roman" w:hAnsi="Times New Roman" w:eastAsia="仿宋" w:cs="仿宋"/>
          <w:sz w:val="32"/>
          <w:szCs w:val="32"/>
        </w:rPr>
        <w:t>。在交直流互联电网态势感知与装备技术团队中发挥骨干作用，主讲本科和研究生课程共2门，作为负责人在研纵向项目国家重大专项2个，作为负责人在研国家电网横向项目2个。团队科研方向为研究基于广域信息、态势感知和电力电子等先进技术的现代交直流互联电力系统，旨在极大提升其安全稳定性、经济高效性和智能化水平，感知控制和关键装备研制与是核心技术。</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01403C0"/>
    <w:rsid w:val="00000B32"/>
    <w:rsid w:val="00095870"/>
    <w:rsid w:val="000D667A"/>
    <w:rsid w:val="000F5039"/>
    <w:rsid w:val="0012124E"/>
    <w:rsid w:val="001467B2"/>
    <w:rsid w:val="00146B47"/>
    <w:rsid w:val="00151FD4"/>
    <w:rsid w:val="001725A5"/>
    <w:rsid w:val="001A4C4A"/>
    <w:rsid w:val="001A4E88"/>
    <w:rsid w:val="001B131E"/>
    <w:rsid w:val="001F1360"/>
    <w:rsid w:val="00243292"/>
    <w:rsid w:val="00264E52"/>
    <w:rsid w:val="002671C7"/>
    <w:rsid w:val="00293CFE"/>
    <w:rsid w:val="002967FE"/>
    <w:rsid w:val="002A06CD"/>
    <w:rsid w:val="002A46FF"/>
    <w:rsid w:val="002A6F30"/>
    <w:rsid w:val="002B32B6"/>
    <w:rsid w:val="002F386C"/>
    <w:rsid w:val="002F4985"/>
    <w:rsid w:val="002F6E68"/>
    <w:rsid w:val="003A73E7"/>
    <w:rsid w:val="003B3662"/>
    <w:rsid w:val="003B51F5"/>
    <w:rsid w:val="003C69C9"/>
    <w:rsid w:val="003E0792"/>
    <w:rsid w:val="003F7C97"/>
    <w:rsid w:val="00411D07"/>
    <w:rsid w:val="00444DF3"/>
    <w:rsid w:val="004546F0"/>
    <w:rsid w:val="00475083"/>
    <w:rsid w:val="00486C21"/>
    <w:rsid w:val="004B545C"/>
    <w:rsid w:val="004C4686"/>
    <w:rsid w:val="004D3CEA"/>
    <w:rsid w:val="0056543B"/>
    <w:rsid w:val="00590005"/>
    <w:rsid w:val="005F567C"/>
    <w:rsid w:val="00602348"/>
    <w:rsid w:val="00606F8B"/>
    <w:rsid w:val="00612B30"/>
    <w:rsid w:val="00616679"/>
    <w:rsid w:val="006166B1"/>
    <w:rsid w:val="00621CA0"/>
    <w:rsid w:val="006319F4"/>
    <w:rsid w:val="006567BD"/>
    <w:rsid w:val="00664BC6"/>
    <w:rsid w:val="00683C5A"/>
    <w:rsid w:val="0069110A"/>
    <w:rsid w:val="006E434E"/>
    <w:rsid w:val="006F1A61"/>
    <w:rsid w:val="007046CA"/>
    <w:rsid w:val="00704D7F"/>
    <w:rsid w:val="00714710"/>
    <w:rsid w:val="00715A13"/>
    <w:rsid w:val="00720126"/>
    <w:rsid w:val="0074624E"/>
    <w:rsid w:val="007618FD"/>
    <w:rsid w:val="00776396"/>
    <w:rsid w:val="00782185"/>
    <w:rsid w:val="00795D40"/>
    <w:rsid w:val="007D2563"/>
    <w:rsid w:val="007E5F40"/>
    <w:rsid w:val="007F0CDF"/>
    <w:rsid w:val="00804920"/>
    <w:rsid w:val="0082526E"/>
    <w:rsid w:val="00855766"/>
    <w:rsid w:val="00860A57"/>
    <w:rsid w:val="008674D8"/>
    <w:rsid w:val="008B72C3"/>
    <w:rsid w:val="008C4B5E"/>
    <w:rsid w:val="008C78BF"/>
    <w:rsid w:val="008C7DE1"/>
    <w:rsid w:val="008D2AD6"/>
    <w:rsid w:val="008D6623"/>
    <w:rsid w:val="008E1571"/>
    <w:rsid w:val="00900A5A"/>
    <w:rsid w:val="009249E3"/>
    <w:rsid w:val="00924D2D"/>
    <w:rsid w:val="00946D33"/>
    <w:rsid w:val="00947BE9"/>
    <w:rsid w:val="009521D1"/>
    <w:rsid w:val="009553EC"/>
    <w:rsid w:val="009566C0"/>
    <w:rsid w:val="009A65CE"/>
    <w:rsid w:val="009B6D5B"/>
    <w:rsid w:val="009C5ABF"/>
    <w:rsid w:val="009E573A"/>
    <w:rsid w:val="00A004BE"/>
    <w:rsid w:val="00A92DCD"/>
    <w:rsid w:val="00AA06DB"/>
    <w:rsid w:val="00AF0CD6"/>
    <w:rsid w:val="00AF60ED"/>
    <w:rsid w:val="00B33B00"/>
    <w:rsid w:val="00B50A25"/>
    <w:rsid w:val="00B512F2"/>
    <w:rsid w:val="00B642BA"/>
    <w:rsid w:val="00B769EC"/>
    <w:rsid w:val="00BA5CD5"/>
    <w:rsid w:val="00BB0C5E"/>
    <w:rsid w:val="00BB4CAF"/>
    <w:rsid w:val="00BD5673"/>
    <w:rsid w:val="00C03036"/>
    <w:rsid w:val="00C0464E"/>
    <w:rsid w:val="00C113D8"/>
    <w:rsid w:val="00C33B2F"/>
    <w:rsid w:val="00C93571"/>
    <w:rsid w:val="00C94119"/>
    <w:rsid w:val="00CD71F7"/>
    <w:rsid w:val="00CF4DB3"/>
    <w:rsid w:val="00D2067F"/>
    <w:rsid w:val="00D266A4"/>
    <w:rsid w:val="00D50BE0"/>
    <w:rsid w:val="00D5110E"/>
    <w:rsid w:val="00D63F2C"/>
    <w:rsid w:val="00D7048E"/>
    <w:rsid w:val="00DC3100"/>
    <w:rsid w:val="00DE16EC"/>
    <w:rsid w:val="00E21888"/>
    <w:rsid w:val="00E32A68"/>
    <w:rsid w:val="00E351F1"/>
    <w:rsid w:val="00E71A76"/>
    <w:rsid w:val="00E935CD"/>
    <w:rsid w:val="00ED16DE"/>
    <w:rsid w:val="00EF60B5"/>
    <w:rsid w:val="00F01EB0"/>
    <w:rsid w:val="00F17017"/>
    <w:rsid w:val="00F26772"/>
    <w:rsid w:val="00F33ED9"/>
    <w:rsid w:val="00F4496A"/>
    <w:rsid w:val="00F55F7C"/>
    <w:rsid w:val="00F73261"/>
    <w:rsid w:val="00F76E27"/>
    <w:rsid w:val="00FC43FC"/>
    <w:rsid w:val="041549F6"/>
    <w:rsid w:val="04B714E4"/>
    <w:rsid w:val="096D351A"/>
    <w:rsid w:val="0A16508C"/>
    <w:rsid w:val="10EA1EE2"/>
    <w:rsid w:val="11D763E1"/>
    <w:rsid w:val="12FD27F6"/>
    <w:rsid w:val="183E2566"/>
    <w:rsid w:val="1A1E7A2C"/>
    <w:rsid w:val="1B732477"/>
    <w:rsid w:val="1DAE7995"/>
    <w:rsid w:val="21823FBD"/>
    <w:rsid w:val="234F3A56"/>
    <w:rsid w:val="25872054"/>
    <w:rsid w:val="265277A9"/>
    <w:rsid w:val="27447124"/>
    <w:rsid w:val="2A8058D7"/>
    <w:rsid w:val="2BE46980"/>
    <w:rsid w:val="2ED611BF"/>
    <w:rsid w:val="303661CD"/>
    <w:rsid w:val="3186539B"/>
    <w:rsid w:val="3246035F"/>
    <w:rsid w:val="383871CA"/>
    <w:rsid w:val="3A737164"/>
    <w:rsid w:val="401403C0"/>
    <w:rsid w:val="4053705D"/>
    <w:rsid w:val="405967F0"/>
    <w:rsid w:val="42165DE4"/>
    <w:rsid w:val="44BA0A82"/>
    <w:rsid w:val="4588068C"/>
    <w:rsid w:val="464004CF"/>
    <w:rsid w:val="4ED66E64"/>
    <w:rsid w:val="54696202"/>
    <w:rsid w:val="551C5D20"/>
    <w:rsid w:val="64131659"/>
    <w:rsid w:val="6751631F"/>
    <w:rsid w:val="68D25174"/>
    <w:rsid w:val="6AAE79EE"/>
    <w:rsid w:val="70B22FFF"/>
    <w:rsid w:val="788025A7"/>
    <w:rsid w:val="7A367973"/>
    <w:rsid w:val="7D63567A"/>
    <w:rsid w:val="7FBC72AB"/>
    <w:rsid w:val="7FF23A91"/>
    <w:rsid w:val="F55FCAB7"/>
    <w:rsid w:val="F5EFF0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Theme="minorHAnsi" w:hAnsiTheme="minorHAnsi" w:eastAsiaTheme="minorEastAsia" w:cstheme="minorBidi"/>
      <w:kern w:val="2"/>
      <w:sz w:val="18"/>
      <w:szCs w:val="18"/>
    </w:rPr>
  </w:style>
  <w:style w:type="character" w:customStyle="1" w:styleId="7">
    <w:name w:val="页脚 字符"/>
    <w:basedOn w:val="5"/>
    <w:link w:val="2"/>
    <w:qFormat/>
    <w:uiPriority w:val="0"/>
    <w:rPr>
      <w:rFonts w:asciiTheme="minorHAnsi" w:hAnsiTheme="minorHAnsi" w:eastAsiaTheme="minorEastAsia" w:cstheme="minorBidi"/>
      <w:kern w:val="2"/>
      <w:sz w:val="18"/>
      <w:szCs w:val="18"/>
    </w:rPr>
  </w:style>
  <w:style w:type="paragraph" w:styleId="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15</Pages>
  <Words>7493</Words>
  <Characters>7964</Characters>
  <Lines>172</Lines>
  <Paragraphs>56</Paragraphs>
  <TotalTime>1359</TotalTime>
  <ScaleCrop>false</ScaleCrop>
  <LinksUpToDate>false</LinksUpToDate>
  <CharactersWithSpaces>7976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2026-04-03T09:38:00Z</dcterms:created>
  <dcterms:modified xsi:type="dcterms:W3CDTF">2026-06-29T02:27:44Z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F7DA5344DCF894483C630E6A375A0180_43</vt:lpwstr>
  </property>
  <property fmtid="{D5CDD505-2E9C-101B-9397-08002B2CF9AE}" pid="4" name="KSOTemplateDocerSaveRecord">
    <vt:lpwstr>eyJoZGlkIjoiZTg5ZDg2YTMyZjA2MGJkNWYwNDcxODU4OTYxMTc2M2MiLCJ1c2VySWQiOiIxNDQ5NTIxNTcxIn0=</vt:lpwstr>
  </property>
</Properties>
</file>